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06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9064"/>
      </w:tblGrid>
      <w:tr>
        <w:trPr/>
        <w:tc>
          <w:tcPr>
            <w:tcW w:w="9064" w:type="dxa"/>
            <w:tcBorders/>
          </w:tcPr>
          <w:p>
            <w:pPr>
              <w:pStyle w:val="ConsPlusNormal"/>
              <w:jc w:val="center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ЗАКЛЮЧЕНИЕ</w:t>
            </w:r>
          </w:p>
          <w:p>
            <w:pPr>
              <w:pStyle w:val="ConsPlusNormal"/>
              <w:jc w:val="center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об оценке регулирующего воздействия</w:t>
            </w:r>
          </w:p>
          <w:p>
            <w:pPr>
              <w:pStyle w:val="ConsPlusNormal"/>
              <w:jc w:val="center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проекта постановления Правительства Ивановской области</w:t>
            </w:r>
          </w:p>
          <w:p>
            <w:pPr>
              <w:pStyle w:val="ConsPlusNormal"/>
              <w:jc w:val="center"/>
              <w:rPr>
                <w:rFonts w:ascii="Tempora LGC Uni" w:hAnsi="Tempora LGC Uni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 w:ascii="Tempora LGC Uni" w:hAnsi="Tempora LGC Uni"/>
                <w:sz w:val="24"/>
                <w:szCs w:val="24"/>
              </w:rPr>
              <w:t>«О внесении изменений в некоторые постановления Правительства Ивановской области»</w:t>
            </w:r>
          </w:p>
        </w:tc>
      </w:tr>
      <w:tr>
        <w:trPr>
          <w:trHeight w:val="11082" w:hRule="atLeast"/>
        </w:trPr>
        <w:tc>
          <w:tcPr>
            <w:tcW w:w="9064" w:type="dxa"/>
            <w:tcBorders/>
          </w:tcPr>
          <w:p>
            <w:pPr>
              <w:pStyle w:val="ConsPlusNormal"/>
              <w:ind w:firstLine="284"/>
              <w:jc w:val="both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Департамент жилищно-коммунального хозяйства Ивановской области разработал проект постановления Правительства Ивановской области «О внесении изменений в некоторые постановления Правительства Ивановской области» (далее - проект нормативного правового акта Ивановской области) и в соответствии с Порядком проведения оценки регулирующего воздействия проектов нормативных правовых актов Ивановской области, утвержденным постановлением Правительства Ивановской области от 17.12.2013 № 534-п, направляет в рабочую группу по внедрению и развитию оценки регулирующего воздействия проектов нормативных правовых актов Ивановской области и экспертизе нормативных правовых актов Ивановской области, затрагивающих вопросы осуществления предпринимательской и инвестиционной деятельности в Ивановской области, проект настоящего заключения для рассмотрения.</w:t>
            </w:r>
          </w:p>
          <w:p>
            <w:pPr>
              <w:pStyle w:val="ConsPlusNormal"/>
              <w:ind w:firstLine="283"/>
              <w:jc w:val="both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Проект настоящего заключения направляется в рабочую группу повторно.</w:t>
            </w:r>
          </w:p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Tempora LGC Uni" w:hAnsi="Tempora LGC Uni"/>
                <w:sz w:val="24"/>
                <w:szCs w:val="24"/>
              </w:rPr>
              <w:t xml:space="preserve">Информация об оценке регулирующего воздействия проекта нормативного правового акта Ивановской области размещена разработчиком на официальном сайте в информационно-телекоммуникационной сети Интернет по адресу: </w:t>
            </w:r>
            <w:hyperlink r:id="rId2">
              <w:r>
                <w:rPr>
                  <w:rStyle w:val="Hyperlink"/>
                  <w:rFonts w:ascii="Tempora LGC Uni" w:hAnsi="Tempora LGC Uni"/>
                  <w:sz w:val="24"/>
                  <w:szCs w:val="24"/>
                </w:rPr>
                <w:t>https://gkh.ivanovoobl.ru/pravovye-akty/otsenka-reguliruyushchego-vozdeystviya-proektov-npa/zaklyucheniya-otchety/</w:t>
              </w:r>
            </w:hyperlink>
            <w:r>
              <w:rPr>
                <w:rFonts w:ascii="Tempora LGC Uni" w:hAnsi="Tempora LGC Uni"/>
                <w:sz w:val="24"/>
                <w:szCs w:val="24"/>
              </w:rPr>
              <w:t>.</w:t>
            </w:r>
          </w:p>
          <w:p>
            <w:pPr>
              <w:pStyle w:val="ConsPlusNormal"/>
              <w:ind w:firstLine="283"/>
              <w:jc w:val="both"/>
              <w:rPr>
                <w:rFonts w:ascii="Tempora LGC Uni" w:hAnsi="Tempora LGC Uni" w:cs="Times New Roman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</w:r>
          </w:p>
          <w:p>
            <w:pPr>
              <w:pStyle w:val="ConsPlusNormal"/>
              <w:ind w:firstLine="283"/>
              <w:jc w:val="both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На основе проведенной оценки регулирующего воздействия проекта нормативного правового акта Ивановской области, с учетом информации, представленной в сводном отчете, разработчиком сделаны следующие выводы:</w:t>
            </w:r>
          </w:p>
          <w:p>
            <w:pPr>
              <w:pStyle w:val="ConsPlusNormal"/>
              <w:ind w:firstLine="283"/>
              <w:jc w:val="both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по результатам проведения оценки регулирующего воздействия проекта нормативного правового акта Ивановской области выявлено отсутствие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деятельности, а также бюджета Ивановской области и установлено наличие достаточного обоснования решения проблемы предложенным способом правового регулирования.</w:t>
            </w:r>
          </w:p>
          <w:p>
            <w:pPr>
              <w:pStyle w:val="ConsPlusNormal"/>
              <w:ind w:firstLine="283"/>
              <w:jc w:val="both"/>
              <w:rPr>
                <w:rFonts w:ascii="Tempora LGC Uni" w:hAnsi="Tempora LGC Uni" w:cs="Times New Roman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</w:r>
          </w:p>
          <w:p>
            <w:pPr>
              <w:pStyle w:val="ConsPlusNormal"/>
              <w:ind w:firstLine="283"/>
              <w:jc w:val="both"/>
              <w:rPr>
                <w:rFonts w:ascii="Tempora LGC Uni" w:hAnsi="Tempora LGC Uni" w:cs="Times New Roman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</w:r>
          </w:p>
          <w:p>
            <w:pPr>
              <w:pStyle w:val="ConsPlusNormal"/>
              <w:ind w:firstLine="283"/>
              <w:jc w:val="both"/>
              <w:rPr>
                <w:rFonts w:ascii="Tempora LGC Uni" w:hAnsi="Tempora LGC Uni" w:cs="Times New Roman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</w:r>
          </w:p>
          <w:p>
            <w:pPr>
              <w:pStyle w:val="Standard"/>
              <w:spacing w:lineRule="auto" w:line="240" w:before="0" w:after="0"/>
              <w:jc w:val="both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Исполняющий обязанности</w:t>
            </w:r>
          </w:p>
          <w:p>
            <w:pPr>
              <w:pStyle w:val="Standard"/>
              <w:spacing w:lineRule="auto" w:line="240" w:before="0" w:after="0"/>
              <w:jc w:val="both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директора Департамента</w:t>
            </w:r>
          </w:p>
          <w:p>
            <w:pPr>
              <w:pStyle w:val="Standard"/>
              <w:spacing w:lineRule="auto" w:line="240" w:before="0" w:after="0"/>
              <w:jc w:val="both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жилищно-коммунального хозяйства</w:t>
            </w:r>
          </w:p>
          <w:p>
            <w:pPr>
              <w:pStyle w:val="Standard"/>
              <w:spacing w:lineRule="auto" w:line="240" w:before="0" w:after="0"/>
              <w:jc w:val="both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  <w:t>Ивановской области                                                                                           Л.В. Белина</w:t>
            </w:r>
          </w:p>
          <w:p>
            <w:pPr>
              <w:pStyle w:val="Standard"/>
              <w:tabs>
                <w:tab w:val="clear" w:pos="708"/>
                <w:tab w:val="left" w:pos="720" w:leader="none"/>
                <w:tab w:val="left" w:pos="900" w:leader="none"/>
                <w:tab w:val="left" w:pos="1080" w:leader="none"/>
              </w:tabs>
              <w:spacing w:lineRule="auto" w:line="240" w:before="0" w:after="0"/>
              <w:rPr>
                <w:rFonts w:ascii="Tempora LGC Uni" w:hAnsi="Tempora LGC Uni" w:cs="Times New Roman CYR"/>
                <w:sz w:val="24"/>
                <w:szCs w:val="24"/>
              </w:rPr>
            </w:pPr>
            <w:r>
              <w:rPr>
                <w:rFonts w:cs="Times New Roman CYR" w:ascii="Tempora LGC Uni" w:hAnsi="Tempora LGC Uni"/>
                <w:sz w:val="24"/>
                <w:szCs w:val="24"/>
              </w:rPr>
            </w:r>
          </w:p>
          <w:p>
            <w:pPr>
              <w:pStyle w:val="ConsPlusNormal"/>
              <w:ind w:firstLine="283"/>
              <w:jc w:val="right"/>
              <w:rPr>
                <w:rFonts w:ascii="Tempora LGC Uni" w:hAnsi="Tempora LGC Uni"/>
                <w:sz w:val="24"/>
                <w:szCs w:val="24"/>
              </w:rPr>
            </w:pPr>
            <w:r>
              <w:rPr>
                <w:rFonts w:ascii="Tempora LGC Uni" w:hAnsi="Tempora LGC Uni"/>
                <w:sz w:val="24"/>
                <w:szCs w:val="24"/>
              </w:rPr>
              <w:t>21</w:t>
            </w:r>
            <w:r>
              <w:rPr>
                <w:rFonts w:ascii="Tempora LGC Uni" w:hAnsi="Tempora LGC Uni"/>
                <w:sz w:val="24"/>
                <w:szCs w:val="24"/>
              </w:rPr>
              <w:t>.05.2026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  <w:sz w:val="24"/>
                <w:szCs w:val="24"/>
              </w:rPr>
            </w:pPr>
            <w:r>
              <w:rPr>
                <w:rFonts w:cs="Times New Roman" w:ascii="Tempora LGC Uni" w:hAnsi="Tempora LGC Uni"/>
                <w:sz w:val="24"/>
                <w:szCs w:val="24"/>
              </w:rPr>
            </w:r>
          </w:p>
        </w:tc>
      </w:tr>
    </w:tbl>
    <w:p>
      <w:pPr>
        <w:pStyle w:val="ConsPlusNormal"/>
        <w:rPr>
          <w:rFonts w:ascii="Tempora LGC Uni" w:hAnsi="Tempora LGC Uni" w:cs="Times New Roman"/>
        </w:rPr>
      </w:pPr>
      <w:r>
        <w:rPr>
          <w:rFonts w:cs="Times New Roman" w:ascii="Tempora LGC Uni" w:hAnsi="Tempora LGC Uni"/>
        </w:rPr>
      </w:r>
    </w:p>
    <w:tbl>
      <w:tblPr>
        <w:tblW w:w="906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532"/>
        <w:gridCol w:w="2266"/>
        <w:gridCol w:w="2266"/>
      </w:tblGrid>
      <w:tr>
        <w:trPr/>
        <w:tc>
          <w:tcPr>
            <w:tcW w:w="4532" w:type="dxa"/>
            <w:tcBorders/>
          </w:tcPr>
          <w:p>
            <w:pPr>
              <w:pStyle w:val="ConsPlusNormal"/>
              <w:jc w:val="center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</w:r>
          </w:p>
        </w:tc>
        <w:tc>
          <w:tcPr>
            <w:tcW w:w="2266" w:type="dxa"/>
            <w:tcBorders/>
          </w:tcPr>
          <w:p>
            <w:pPr>
              <w:pStyle w:val="ConsPlusNormal"/>
              <w:jc w:val="center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</w:r>
          </w:p>
        </w:tc>
        <w:tc>
          <w:tcPr>
            <w:tcW w:w="2266" w:type="dxa"/>
            <w:tcBorders/>
          </w:tcPr>
          <w:p>
            <w:pPr>
              <w:pStyle w:val="ConsPlusNormal"/>
              <w:jc w:val="center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</w:r>
          </w:p>
        </w:tc>
      </w:tr>
    </w:tbl>
    <w:p>
      <w:pPr>
        <w:pStyle w:val="ConsPlusNormal"/>
        <w:ind w:hanging="0"/>
        <w:jc w:val="both"/>
        <w:rPr>
          <w:rFonts w:ascii="Tempora LGC Uni" w:hAnsi="Tempora LGC Uni"/>
        </w:rPr>
      </w:pPr>
      <w:r>
        <w:rPr>
          <w:rFonts w:ascii="Tempora LGC Uni" w:hAnsi="Tempora LGC Uni"/>
        </w:rPr>
      </w:r>
    </w:p>
    <w:p>
      <w:pPr>
        <w:pStyle w:val="ConsPlusNormal"/>
        <w:ind w:hanging="0"/>
        <w:jc w:val="both"/>
        <w:rPr>
          <w:rFonts w:ascii="Tempora LGC Uni" w:hAnsi="Tempora LGC Uni"/>
        </w:rPr>
      </w:pPr>
      <w:r>
        <w:rPr>
          <w:rFonts w:ascii="Tempora LGC Uni" w:hAnsi="Tempora LGC Uni"/>
        </w:rPr>
      </w:r>
    </w:p>
    <w:p>
      <w:pPr>
        <w:pStyle w:val="ConsPlusNormal"/>
        <w:ind w:firstLine="540"/>
        <w:jc w:val="both"/>
        <w:rPr>
          <w:rFonts w:ascii="Tempora LGC Uni" w:hAnsi="Tempora LGC Uni"/>
        </w:rPr>
      </w:pPr>
      <w:r>
        <w:rPr>
          <w:rFonts w:ascii="Tempora LGC Uni" w:hAnsi="Tempora LGC Uni"/>
        </w:rPr>
        <w:t>--------------------------------</w:t>
      </w:r>
    </w:p>
    <w:p>
      <w:pPr>
        <w:pStyle w:val="ConsPlusNormal"/>
        <w:spacing w:before="220" w:after="0"/>
        <w:ind w:firstLine="540"/>
        <w:jc w:val="both"/>
        <w:rPr>
          <w:rFonts w:ascii="Tempora LGC Uni" w:hAnsi="Tempora LGC Uni"/>
        </w:rPr>
      </w:pPr>
      <w:r>
        <w:rPr>
          <w:rFonts w:ascii="Tempora LGC Uni" w:hAnsi="Tempora LGC Uni"/>
        </w:rPr>
        <w:t>&lt;*&gt; Указывается в случае направления разработчиком проекта нормативного правового акта Ивановской области повторно.</w:t>
      </w:r>
    </w:p>
    <w:p>
      <w:pPr>
        <w:pStyle w:val="ConsPlusNormal"/>
        <w:spacing w:before="220" w:after="0"/>
        <w:ind w:firstLine="540"/>
        <w:jc w:val="both"/>
        <w:rPr>
          <w:rFonts w:ascii="Tempora LGC Uni" w:hAnsi="Tempora LGC Uni"/>
        </w:rPr>
      </w:pPr>
      <w:r>
        <w:rPr>
          <w:rFonts w:ascii="Tempora LGC Uni" w:hAnsi="Tempora LGC Uni"/>
        </w:rPr>
        <w:t>&lt;**&gt; Указываются в случае проведения разработчиком публичных консультаций в отношении предлагаемого правового регулирования.</w:t>
      </w:r>
    </w:p>
    <w:p>
      <w:pPr>
        <w:pStyle w:val="ConsPlusNormal"/>
        <w:spacing w:before="220" w:after="0"/>
        <w:ind w:firstLine="540"/>
        <w:jc w:val="both"/>
        <w:rPr>
          <w:rFonts w:ascii="Tempora LGC Uni" w:hAnsi="Tempora LGC Uni"/>
        </w:rPr>
      </w:pPr>
      <w:r>
        <w:rPr>
          <w:rFonts w:ascii="Tempora LGC Uni" w:hAnsi="Tempora LGC Uni"/>
        </w:rPr>
        <w:t>&lt;***&gt; В случае если по результатам проведения оценки регулирующего воздействия проекта нормативного правового акта Ивановской области выявлено отсутствие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деятельности, а также бюджета Ивановской области, о наличии либо отсутствии достаточного обоснования решения проблемы предложенным способом правового регулирования и установлено наличие достаточного обоснования решения проблемы предложенным способом правового регулирования, подготовка заключения об оценке регулирующего воздействия проекта нормативного правового акта Ивановской области после указания соответствующих выводов завершена и дальнейшего заполнения настоящей формы не требуется.</w:t>
      </w:r>
    </w:p>
    <w:p>
      <w:pPr>
        <w:pStyle w:val="ConsPlusNormal"/>
        <w:rPr>
          <w:rFonts w:ascii="Tempora LGC Uni" w:hAnsi="Tempora LGC Uni"/>
        </w:rPr>
      </w:pPr>
      <w:r>
        <w:rPr>
          <w:rFonts w:ascii="Tempora LGC Uni" w:hAnsi="Tempora LGC Uni"/>
        </w:rPr>
      </w:r>
    </w:p>
    <w:p>
      <w:pPr>
        <w:pStyle w:val="ConsPlusNormal"/>
        <w:rPr>
          <w:rFonts w:ascii="Tempora LGC Uni" w:hAnsi="Tempora LGC Uni"/>
        </w:rPr>
      </w:pPr>
      <w:r>
        <w:rPr>
          <w:rFonts w:ascii="Tempora LGC Uni" w:hAnsi="Tempora LGC Uni"/>
        </w:rPr>
      </w:r>
    </w:p>
    <w:p>
      <w:pPr>
        <w:pStyle w:val="ConsPlusNormal"/>
        <w:rPr>
          <w:rFonts w:ascii="Tempora LGC Uni" w:hAnsi="Tempora LGC Uni"/>
        </w:rPr>
      </w:pPr>
      <w:r>
        <w:rPr>
          <w:rFonts w:ascii="Tempora LGC Uni" w:hAnsi="Tempora LGC Uni"/>
        </w:rPr>
      </w:r>
    </w:p>
    <w:p>
      <w:pPr>
        <w:pStyle w:val="ConsPlusNormal"/>
        <w:rPr>
          <w:rFonts w:ascii="Tempora LGC Uni" w:hAnsi="Tempora LGC Uni"/>
        </w:rPr>
      </w:pPr>
      <w:r>
        <w:rPr>
          <w:rFonts w:ascii="Tempora LGC Uni" w:hAnsi="Tempora LGC Uni"/>
        </w:rPr>
      </w:r>
    </w:p>
    <w:p>
      <w:pPr>
        <w:pStyle w:val="ConsPlusNormal"/>
        <w:rPr>
          <w:rFonts w:ascii="Tempora LGC Uni" w:hAnsi="Tempora LGC Uni"/>
        </w:rPr>
      </w:pPr>
      <w:r>
        <w:rPr>
          <w:rFonts w:ascii="Tempora LGC Uni" w:hAnsi="Tempora LGC Uni"/>
        </w:rPr>
      </w:r>
    </w:p>
    <w:p>
      <w:pPr>
        <w:pStyle w:val="ConsPlusNormal"/>
        <w:rPr/>
      </w:pPr>
      <w:hyperlink r:id="rId3">
        <w:r>
          <w:rPr>
            <w:rFonts w:ascii="Tempora LGC Uni" w:hAnsi="Tempora LGC Uni"/>
            <w:i/>
            <w:color w:val="0000FF"/>
          </w:rPr>
          <w:br/>
          <w:t>{Постановление Правительства Ивановской области от 17.12.2013 N 534-п (ред. от 26.09.2024) "Об оценке регулирующего воздействия проектов нормативных правовых актов Ивановской области" (вместе с "Порядком проведения оценки регулирующего воздействия проектов нормативных правовых актов Ивановской области") {КонсультантПлюс}}</w:t>
        </w:r>
      </w:hyperlink>
      <w:r>
        <w:rPr>
          <w:rFonts w:ascii="Tempora LGC Uni" w:hAnsi="Tempora LGC Uni"/>
        </w:rPr>
        <w:br/>
      </w:r>
    </w:p>
    <w:p>
      <w:pPr>
        <w:pStyle w:val="Normal"/>
        <w:spacing w:before="0" w:after="200"/>
        <w:rPr>
          <w:rFonts w:ascii="Tempora LGC Uni" w:hAnsi="Tempora LGC Uni"/>
        </w:rPr>
      </w:pPr>
      <w:r>
        <w:rPr>
          <w:rFonts w:ascii="Tempora LGC Uni" w:hAnsi="Tempora LGC Uni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fa5fa7"/>
    <w:rPr>
      <w:color w:themeColor="hyperlink" w:val="0000FF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561470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color w:val="auto"/>
      <w:kern w:val="0"/>
      <w:sz w:val="22"/>
      <w:szCs w:val="22"/>
      <w:lang w:val="ru-RU" w:eastAsia="ru-RU" w:bidi="ar-SA"/>
    </w:rPr>
  </w:style>
  <w:style w:type="paragraph" w:styleId="Standard" w:customStyle="1">
    <w:name w:val="Standard"/>
    <w:qFormat/>
    <w:rsid w:val="004d6b8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ru-RU" w:eastAsia="ar-SA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gkh.ivanovoobl.ru/pravovye-akty/otsenka-reguliruyushchego-vozdeystviya-proektov-npa/zaklyucheniya-otchety/" TargetMode="External"/><Relationship Id="rId3" Type="http://schemas.openxmlformats.org/officeDocument/2006/relationships/hyperlink" Target="https://login.consultant.ru/link/?req=doc&amp;base=RLAW224&amp;n=188888&amp;dst=101203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Application>LibreOffice/7.6.0.3$Linux_X86_64 LibreOffice_project/60$Build-3</Application>
  <AppVersion>15.0000</AppVersion>
  <Pages>2</Pages>
  <Words>399</Words>
  <Characters>3462</Characters>
  <CharactersWithSpaces>3934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2024-10-08T12:23:00Z</dcterms:created>
  <dc:creator>Admin</dc:creator>
  <dc:description/>
  <dc:language>ru-RU</dc:language>
  <cp:lastModifiedBy/>
  <cp:lastPrinted>2026-05-21T11:09:22Z</cp:lastPrinted>
  <dcterms:modified xsi:type="dcterms:W3CDTF">2026-05-21T11:09:24Z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